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EC98" w14:textId="30386E96" w:rsidR="00467E47" w:rsidRPr="00467E47" w:rsidRDefault="00467E47" w:rsidP="00467E47">
      <w:pPr>
        <w:shd w:val="clear" w:color="auto" w:fill="FFFFFF"/>
        <w:spacing w:after="0" w:line="240" w:lineRule="auto"/>
        <w:outlineLvl w:val="0"/>
        <w:rPr>
          <w:rFonts w:ascii="Lato" w:eastAsia="Times New Roman" w:hAnsi="Lato" w:cs="Times New Roman"/>
          <w:color w:val="CC3300"/>
          <w:kern w:val="36"/>
          <w:sz w:val="36"/>
          <w:szCs w:val="36"/>
          <w:lang w:eastAsia="fr-BE"/>
        </w:rPr>
      </w:pPr>
      <w:r w:rsidRPr="00467E47">
        <w:rPr>
          <w:rFonts w:ascii="Lato" w:eastAsia="Times New Roman" w:hAnsi="Lato" w:cs="Times New Roman"/>
          <w:color w:val="CC3300"/>
          <w:kern w:val="36"/>
          <w:sz w:val="36"/>
          <w:szCs w:val="36"/>
          <w:lang w:eastAsia="fr-BE"/>
        </w:rPr>
        <w:t>Métaux non ferreux</w:t>
      </w:r>
      <w:r>
        <w:rPr>
          <w:rFonts w:ascii="Lato" w:eastAsia="Times New Roman" w:hAnsi="Lato" w:cs="Times New Roman"/>
          <w:color w:val="CC3300"/>
          <w:kern w:val="36"/>
          <w:sz w:val="36"/>
          <w:szCs w:val="36"/>
          <w:lang w:eastAsia="fr-BE"/>
        </w:rPr>
        <w:t>,</w:t>
      </w:r>
      <w:r w:rsidRPr="00467E47">
        <w:rPr>
          <w:rFonts w:ascii="Lato" w:eastAsia="Times New Roman" w:hAnsi="Lato" w:cs="Times New Roman"/>
          <w:color w:val="CC3300"/>
          <w:kern w:val="36"/>
          <w:sz w:val="36"/>
          <w:szCs w:val="36"/>
          <w:lang w:eastAsia="fr-BE"/>
        </w:rPr>
        <w:t xml:space="preserve"> la bourse de Londres face à des vents contraires</w:t>
      </w:r>
    </w:p>
    <w:p w14:paraId="38144C80" w14:textId="77777777" w:rsidR="00467E47" w:rsidRDefault="00467E47" w:rsidP="00467E47">
      <w:pPr>
        <w:shd w:val="clear" w:color="auto" w:fill="FFFFFF"/>
        <w:spacing w:before="75" w:after="75" w:line="240" w:lineRule="auto"/>
        <w:jc w:val="both"/>
        <w:rPr>
          <w:rFonts w:ascii="Lato" w:eastAsia="Times New Roman" w:hAnsi="Lato" w:cs="Times New Roman"/>
          <w:color w:val="3E001F"/>
          <w:sz w:val="30"/>
          <w:szCs w:val="30"/>
          <w:lang w:eastAsia="fr-BE"/>
        </w:rPr>
      </w:pPr>
    </w:p>
    <w:p w14:paraId="78D7E2AB" w14:textId="7320456D"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b/>
          <w:bCs/>
          <w:color w:val="000000"/>
          <w:sz w:val="23"/>
          <w:szCs w:val="23"/>
          <w:lang w:eastAsia="fr-BE"/>
        </w:rPr>
        <w:t xml:space="preserve">A la fin du mois, le courtier Britannia Global </w:t>
      </w:r>
      <w:proofErr w:type="spellStart"/>
      <w:r w:rsidRPr="00467E47">
        <w:rPr>
          <w:rFonts w:ascii="Lato" w:eastAsia="Times New Roman" w:hAnsi="Lato" w:cs="Times New Roman"/>
          <w:b/>
          <w:bCs/>
          <w:color w:val="000000"/>
          <w:sz w:val="23"/>
          <w:szCs w:val="23"/>
          <w:lang w:eastAsia="fr-BE"/>
        </w:rPr>
        <w:t>Markets</w:t>
      </w:r>
      <w:proofErr w:type="spellEnd"/>
      <w:r w:rsidRPr="00467E47">
        <w:rPr>
          <w:rFonts w:ascii="Lato" w:eastAsia="Times New Roman" w:hAnsi="Lato" w:cs="Times New Roman"/>
          <w:b/>
          <w:bCs/>
          <w:color w:val="000000"/>
          <w:sz w:val="23"/>
          <w:szCs w:val="23"/>
          <w:lang w:eastAsia="fr-BE"/>
        </w:rPr>
        <w:t xml:space="preserve"> démissionnera de son statut de membre de la chambre de compensation au LME. Il est le premier à quitter la bourse de Londres </w:t>
      </w:r>
      <w:proofErr w:type="gramStart"/>
      <w:r w:rsidRPr="00467E47">
        <w:rPr>
          <w:rFonts w:ascii="Lato" w:eastAsia="Times New Roman" w:hAnsi="Lato" w:cs="Times New Roman"/>
          <w:b/>
          <w:bCs/>
          <w:color w:val="000000"/>
          <w:sz w:val="23"/>
          <w:szCs w:val="23"/>
          <w:lang w:eastAsia="fr-BE"/>
        </w:rPr>
        <w:t>suite à</w:t>
      </w:r>
      <w:proofErr w:type="gramEnd"/>
      <w:r w:rsidRPr="00467E47">
        <w:rPr>
          <w:rFonts w:ascii="Lato" w:eastAsia="Times New Roman" w:hAnsi="Lato" w:cs="Times New Roman"/>
          <w:b/>
          <w:bCs/>
          <w:color w:val="000000"/>
          <w:sz w:val="23"/>
          <w:szCs w:val="23"/>
          <w:lang w:eastAsia="fr-BE"/>
        </w:rPr>
        <w:t xml:space="preserve"> l’incident survenu sur le nickel.</w:t>
      </w:r>
    </w:p>
    <w:p w14:paraId="0D1FA3B3"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color w:val="000000"/>
          <w:sz w:val="23"/>
          <w:szCs w:val="23"/>
          <w:lang w:eastAsia="fr-BE"/>
        </w:rPr>
        <w:t> </w:t>
      </w:r>
    </w:p>
    <w:p w14:paraId="11D7BAF5"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b/>
          <w:bCs/>
          <w:color w:val="000000"/>
          <w:sz w:val="23"/>
          <w:szCs w:val="23"/>
          <w:lang w:eastAsia="fr-BE"/>
        </w:rPr>
        <w:t>Britannia </w:t>
      </w:r>
      <w:r w:rsidRPr="00467E47">
        <w:rPr>
          <w:rFonts w:ascii="Lato" w:eastAsia="Times New Roman" w:hAnsi="Lato" w:cs="Times New Roman"/>
          <w:color w:val="000000"/>
          <w:sz w:val="23"/>
          <w:szCs w:val="23"/>
          <w:lang w:eastAsia="fr-BE"/>
        </w:rPr>
        <w:t>reste engagé dans l'activité de négoce des métaux, malgré sa décision de suspendre son adhésion à la bourse, a déclaré Mark Bruce, directeur général de</w:t>
      </w:r>
      <w:r w:rsidRPr="00467E47">
        <w:rPr>
          <w:rFonts w:ascii="Lato" w:eastAsia="Times New Roman" w:hAnsi="Lato" w:cs="Times New Roman"/>
          <w:b/>
          <w:bCs/>
          <w:color w:val="000000"/>
          <w:sz w:val="23"/>
          <w:szCs w:val="23"/>
          <w:lang w:eastAsia="fr-BE"/>
        </w:rPr>
        <w:t> Britannia Financial Group</w:t>
      </w:r>
      <w:r w:rsidRPr="00467E47">
        <w:rPr>
          <w:rFonts w:ascii="Lato" w:eastAsia="Times New Roman" w:hAnsi="Lato" w:cs="Times New Roman"/>
          <w:color w:val="000000"/>
          <w:sz w:val="23"/>
          <w:szCs w:val="23"/>
          <w:lang w:eastAsia="fr-BE"/>
        </w:rPr>
        <w:t>, dans un communiqué. « </w:t>
      </w:r>
      <w:r w:rsidRPr="00467E47">
        <w:rPr>
          <w:rFonts w:ascii="Lato" w:eastAsia="Times New Roman" w:hAnsi="Lato" w:cs="Times New Roman"/>
          <w:i/>
          <w:iCs/>
          <w:color w:val="000000"/>
          <w:sz w:val="23"/>
          <w:szCs w:val="23"/>
          <w:lang w:eastAsia="fr-BE"/>
        </w:rPr>
        <w:t xml:space="preserve">L'incertitude actuelle du marché, </w:t>
      </w:r>
      <w:proofErr w:type="gramStart"/>
      <w:r w:rsidRPr="00467E47">
        <w:rPr>
          <w:rFonts w:ascii="Lato" w:eastAsia="Times New Roman" w:hAnsi="Lato" w:cs="Times New Roman"/>
          <w:i/>
          <w:iCs/>
          <w:color w:val="000000"/>
          <w:sz w:val="23"/>
          <w:szCs w:val="23"/>
          <w:lang w:eastAsia="fr-BE"/>
        </w:rPr>
        <w:t>suite aux</w:t>
      </w:r>
      <w:proofErr w:type="gramEnd"/>
      <w:r w:rsidRPr="00467E47">
        <w:rPr>
          <w:rFonts w:ascii="Lato" w:eastAsia="Times New Roman" w:hAnsi="Lato" w:cs="Times New Roman"/>
          <w:i/>
          <w:iCs/>
          <w:color w:val="000000"/>
          <w:sz w:val="23"/>
          <w:szCs w:val="23"/>
          <w:lang w:eastAsia="fr-BE"/>
        </w:rPr>
        <w:t xml:space="preserve"> récents événements très médiatisés, associée à une hésitation manifeste de certains participants à soutenir la structure actuelle du marché du LME, a conduit à un changement de notre approche stratégique</w:t>
      </w:r>
      <w:r w:rsidRPr="00467E47">
        <w:rPr>
          <w:rFonts w:ascii="Lato" w:eastAsia="Times New Roman" w:hAnsi="Lato" w:cs="Times New Roman"/>
          <w:color w:val="000000"/>
          <w:sz w:val="23"/>
          <w:szCs w:val="23"/>
          <w:lang w:eastAsia="fr-BE"/>
        </w:rPr>
        <w:t> », a-t-il déclaré. La société, dont le siège est à Londres, cherche également à former des partenariats avec d'autres courtiers du LME afin de fournir un accès continu à la bourse.</w:t>
      </w:r>
    </w:p>
    <w:p w14:paraId="1C2C13EF"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color w:val="000000"/>
          <w:sz w:val="23"/>
          <w:szCs w:val="23"/>
          <w:lang w:eastAsia="fr-BE"/>
        </w:rPr>
        <w:t>Le 8 mars, les opérateurs de la bourse ont vu les cours du nickel s’envoler à plus 100.000 $/t, sous l’effet d'un resserrement sans précédent sur des positions courtes, laissant certains d’entre eux face à d'énormes appels de marge. La bourse a alors décidé d’interrompre les échanges et a annulé pour 3,9 milliards de dollars d’opérations, pour venir en aide aux courtiers incapables de couvrir leurs pertes.</w:t>
      </w:r>
    </w:p>
    <w:p w14:paraId="620583E0"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color w:val="000000"/>
          <w:sz w:val="23"/>
          <w:szCs w:val="23"/>
          <w:lang w:eastAsia="fr-BE"/>
        </w:rPr>
        <w:t>Les régulateurs britanniques ont ouvert une enquête, fait rare, pour déterminer la responsabilité de la bourse dans la gestion de cet incident. Par ailleurs, deux sociétés ont porté plainte contre elle.</w:t>
      </w:r>
      <w:r w:rsidRPr="00467E47">
        <w:rPr>
          <w:rFonts w:ascii="Lato" w:eastAsia="Times New Roman" w:hAnsi="Lato" w:cs="Times New Roman"/>
          <w:b/>
          <w:bCs/>
          <w:color w:val="000000"/>
          <w:sz w:val="23"/>
          <w:szCs w:val="23"/>
          <w:lang w:eastAsia="fr-BE"/>
        </w:rPr>
        <w:t> Jane Street Global Trading</w:t>
      </w:r>
      <w:r w:rsidRPr="00467E47">
        <w:rPr>
          <w:rFonts w:ascii="Lato" w:eastAsia="Times New Roman" w:hAnsi="Lato" w:cs="Times New Roman"/>
          <w:color w:val="000000"/>
          <w:sz w:val="23"/>
          <w:szCs w:val="23"/>
          <w:lang w:eastAsia="fr-BE"/>
        </w:rPr>
        <w:t xml:space="preserve"> et le </w:t>
      </w:r>
      <w:proofErr w:type="spellStart"/>
      <w:r w:rsidRPr="00467E47">
        <w:rPr>
          <w:rFonts w:ascii="Lato" w:eastAsia="Times New Roman" w:hAnsi="Lato" w:cs="Times New Roman"/>
          <w:color w:val="000000"/>
          <w:sz w:val="23"/>
          <w:szCs w:val="23"/>
          <w:lang w:eastAsia="fr-BE"/>
        </w:rPr>
        <w:t>hedge</w:t>
      </w:r>
      <w:proofErr w:type="spellEnd"/>
      <w:r w:rsidRPr="00467E47">
        <w:rPr>
          <w:rFonts w:ascii="Lato" w:eastAsia="Times New Roman" w:hAnsi="Lato" w:cs="Times New Roman"/>
          <w:color w:val="000000"/>
          <w:sz w:val="23"/>
          <w:szCs w:val="23"/>
          <w:lang w:eastAsia="fr-BE"/>
        </w:rPr>
        <w:t xml:space="preserve"> </w:t>
      </w:r>
      <w:proofErr w:type="spellStart"/>
      <w:r w:rsidRPr="00467E47">
        <w:rPr>
          <w:rFonts w:ascii="Lato" w:eastAsia="Times New Roman" w:hAnsi="Lato" w:cs="Times New Roman"/>
          <w:color w:val="000000"/>
          <w:sz w:val="23"/>
          <w:szCs w:val="23"/>
          <w:lang w:eastAsia="fr-BE"/>
        </w:rPr>
        <w:t>fund</w:t>
      </w:r>
      <w:proofErr w:type="spellEnd"/>
      <w:r w:rsidRPr="00467E47">
        <w:rPr>
          <w:rFonts w:ascii="Lato" w:eastAsia="Times New Roman" w:hAnsi="Lato" w:cs="Times New Roman"/>
          <w:color w:val="000000"/>
          <w:sz w:val="23"/>
          <w:szCs w:val="23"/>
          <w:lang w:eastAsia="fr-BE"/>
        </w:rPr>
        <w:t> </w:t>
      </w:r>
      <w:r w:rsidRPr="00467E47">
        <w:rPr>
          <w:rFonts w:ascii="Lato" w:eastAsia="Times New Roman" w:hAnsi="Lato" w:cs="Times New Roman"/>
          <w:b/>
          <w:bCs/>
          <w:color w:val="000000"/>
          <w:sz w:val="23"/>
          <w:szCs w:val="23"/>
          <w:lang w:eastAsia="fr-BE"/>
        </w:rPr>
        <w:t>Elliott Associates</w:t>
      </w:r>
      <w:r w:rsidRPr="00467E47">
        <w:rPr>
          <w:rFonts w:ascii="Lato" w:eastAsia="Times New Roman" w:hAnsi="Lato" w:cs="Times New Roman"/>
          <w:color w:val="000000"/>
          <w:sz w:val="23"/>
          <w:szCs w:val="23"/>
          <w:lang w:eastAsia="fr-BE"/>
        </w:rPr>
        <w:t xml:space="preserve"> se sont </w:t>
      </w:r>
      <w:proofErr w:type="gramStart"/>
      <w:r w:rsidRPr="00467E47">
        <w:rPr>
          <w:rFonts w:ascii="Lato" w:eastAsia="Times New Roman" w:hAnsi="Lato" w:cs="Times New Roman"/>
          <w:color w:val="000000"/>
          <w:sz w:val="23"/>
          <w:szCs w:val="23"/>
          <w:lang w:eastAsia="fr-BE"/>
        </w:rPr>
        <w:t>vus</w:t>
      </w:r>
      <w:proofErr w:type="gramEnd"/>
      <w:r w:rsidRPr="00467E47">
        <w:rPr>
          <w:rFonts w:ascii="Lato" w:eastAsia="Times New Roman" w:hAnsi="Lato" w:cs="Times New Roman"/>
          <w:color w:val="000000"/>
          <w:sz w:val="23"/>
          <w:szCs w:val="23"/>
          <w:lang w:eastAsia="fr-BE"/>
        </w:rPr>
        <w:t xml:space="preserve"> annuler pour, respectivement, 15,3 et 456 millions de dollars d’opérations.</w:t>
      </w:r>
    </w:p>
    <w:p w14:paraId="08A1103B"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467E47">
        <w:rPr>
          <w:rFonts w:ascii="Lato" w:eastAsia="Times New Roman" w:hAnsi="Lato" w:cs="Times New Roman"/>
          <w:b/>
          <w:bCs/>
          <w:color w:val="000000"/>
          <w:sz w:val="23"/>
          <w:szCs w:val="23"/>
          <w:lang w:eastAsia="fr-BE"/>
        </w:rPr>
        <w:t>JPMorgan</w:t>
      </w:r>
      <w:proofErr w:type="spellEnd"/>
      <w:r w:rsidRPr="00467E47">
        <w:rPr>
          <w:rFonts w:ascii="Lato" w:eastAsia="Times New Roman" w:hAnsi="Lato" w:cs="Times New Roman"/>
          <w:b/>
          <w:bCs/>
          <w:color w:val="000000"/>
          <w:sz w:val="23"/>
          <w:szCs w:val="23"/>
          <w:lang w:eastAsia="fr-BE"/>
        </w:rPr>
        <w:t xml:space="preserve"> Chase &amp; Co</w:t>
      </w:r>
      <w:r w:rsidRPr="00467E47">
        <w:rPr>
          <w:rFonts w:ascii="Lato" w:eastAsia="Times New Roman" w:hAnsi="Lato" w:cs="Times New Roman"/>
          <w:color w:val="000000"/>
          <w:sz w:val="23"/>
          <w:szCs w:val="23"/>
          <w:lang w:eastAsia="fr-BE"/>
        </w:rPr>
        <w:t> et </w:t>
      </w:r>
      <w:r w:rsidRPr="00467E47">
        <w:rPr>
          <w:rFonts w:ascii="Lato" w:eastAsia="Times New Roman" w:hAnsi="Lato" w:cs="Times New Roman"/>
          <w:b/>
          <w:bCs/>
          <w:color w:val="000000"/>
          <w:sz w:val="23"/>
          <w:szCs w:val="23"/>
          <w:lang w:eastAsia="fr-BE"/>
        </w:rPr>
        <w:t xml:space="preserve">Tower </w:t>
      </w:r>
      <w:proofErr w:type="spellStart"/>
      <w:r w:rsidRPr="00467E47">
        <w:rPr>
          <w:rFonts w:ascii="Lato" w:eastAsia="Times New Roman" w:hAnsi="Lato" w:cs="Times New Roman"/>
          <w:b/>
          <w:bCs/>
          <w:color w:val="000000"/>
          <w:sz w:val="23"/>
          <w:szCs w:val="23"/>
          <w:lang w:eastAsia="fr-BE"/>
        </w:rPr>
        <w:t>Research</w:t>
      </w:r>
      <w:proofErr w:type="spellEnd"/>
      <w:r w:rsidRPr="00467E47">
        <w:rPr>
          <w:rFonts w:ascii="Lato" w:eastAsia="Times New Roman" w:hAnsi="Lato" w:cs="Times New Roman"/>
          <w:b/>
          <w:bCs/>
          <w:color w:val="000000"/>
          <w:sz w:val="23"/>
          <w:szCs w:val="23"/>
          <w:lang w:eastAsia="fr-BE"/>
        </w:rPr>
        <w:t xml:space="preserve"> Capital LLC</w:t>
      </w:r>
      <w:r w:rsidRPr="00467E47">
        <w:rPr>
          <w:rFonts w:ascii="Lato" w:eastAsia="Times New Roman" w:hAnsi="Lato" w:cs="Times New Roman"/>
          <w:color w:val="000000"/>
          <w:sz w:val="23"/>
          <w:szCs w:val="23"/>
          <w:lang w:eastAsia="fr-BE"/>
        </w:rPr>
        <w:t xml:space="preserve">, pour leur part, réexaminent leur activité dans le secteur des métaux </w:t>
      </w:r>
      <w:proofErr w:type="gramStart"/>
      <w:r w:rsidRPr="00467E47">
        <w:rPr>
          <w:rFonts w:ascii="Lato" w:eastAsia="Times New Roman" w:hAnsi="Lato" w:cs="Times New Roman"/>
          <w:color w:val="000000"/>
          <w:sz w:val="23"/>
          <w:szCs w:val="23"/>
          <w:lang w:eastAsia="fr-BE"/>
        </w:rPr>
        <w:t>suite à</w:t>
      </w:r>
      <w:proofErr w:type="gramEnd"/>
      <w:r w:rsidRPr="00467E47">
        <w:rPr>
          <w:rFonts w:ascii="Lato" w:eastAsia="Times New Roman" w:hAnsi="Lato" w:cs="Times New Roman"/>
          <w:color w:val="000000"/>
          <w:sz w:val="23"/>
          <w:szCs w:val="23"/>
          <w:lang w:eastAsia="fr-BE"/>
        </w:rPr>
        <w:t xml:space="preserve"> cette crise, tandis que plusieurs fonds spéculatifs ont décidé de ne plus faire appel à la bourse.</w:t>
      </w:r>
    </w:p>
    <w:p w14:paraId="25F85178"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b/>
          <w:bCs/>
          <w:color w:val="000000"/>
          <w:sz w:val="23"/>
          <w:szCs w:val="23"/>
          <w:lang w:eastAsia="fr-BE"/>
        </w:rPr>
        <w:t xml:space="preserve">Britannia Global </w:t>
      </w:r>
      <w:proofErr w:type="spellStart"/>
      <w:r w:rsidRPr="00467E47">
        <w:rPr>
          <w:rFonts w:ascii="Lato" w:eastAsia="Times New Roman" w:hAnsi="Lato" w:cs="Times New Roman"/>
          <w:b/>
          <w:bCs/>
          <w:color w:val="000000"/>
          <w:sz w:val="23"/>
          <w:szCs w:val="23"/>
          <w:lang w:eastAsia="fr-BE"/>
        </w:rPr>
        <w:t>Markets</w:t>
      </w:r>
      <w:proofErr w:type="spellEnd"/>
      <w:r w:rsidRPr="00467E47">
        <w:rPr>
          <w:rFonts w:ascii="Lato" w:eastAsia="Times New Roman" w:hAnsi="Lato" w:cs="Times New Roman"/>
          <w:color w:val="000000"/>
          <w:sz w:val="23"/>
          <w:szCs w:val="23"/>
          <w:lang w:eastAsia="fr-BE"/>
        </w:rPr>
        <w:t> était connu sous le nom de </w:t>
      </w:r>
      <w:r w:rsidRPr="00467E47">
        <w:rPr>
          <w:rFonts w:ascii="Lato" w:eastAsia="Times New Roman" w:hAnsi="Lato" w:cs="Times New Roman"/>
          <w:b/>
          <w:bCs/>
          <w:color w:val="000000"/>
          <w:sz w:val="23"/>
          <w:szCs w:val="23"/>
          <w:lang w:eastAsia="fr-BE"/>
        </w:rPr>
        <w:t>Berkeley Futures</w:t>
      </w:r>
      <w:r w:rsidRPr="00467E47">
        <w:rPr>
          <w:rFonts w:ascii="Lato" w:eastAsia="Times New Roman" w:hAnsi="Lato" w:cs="Times New Roman"/>
          <w:color w:val="000000"/>
          <w:sz w:val="23"/>
          <w:szCs w:val="23"/>
          <w:lang w:eastAsia="fr-BE"/>
        </w:rPr>
        <w:t> jusqu'en 2019, date à laquelle il a été racheté par </w:t>
      </w:r>
      <w:r w:rsidRPr="00467E47">
        <w:rPr>
          <w:rFonts w:ascii="Lato" w:eastAsia="Times New Roman" w:hAnsi="Lato" w:cs="Times New Roman"/>
          <w:b/>
          <w:bCs/>
          <w:color w:val="000000"/>
          <w:sz w:val="23"/>
          <w:szCs w:val="23"/>
          <w:lang w:eastAsia="fr-BE"/>
        </w:rPr>
        <w:t>Britannia Financial Group Ltd.</w:t>
      </w:r>
      <w:r w:rsidRPr="00467E47">
        <w:rPr>
          <w:rFonts w:ascii="Lato" w:eastAsia="Times New Roman" w:hAnsi="Lato" w:cs="Times New Roman"/>
          <w:color w:val="000000"/>
          <w:sz w:val="23"/>
          <w:szCs w:val="23"/>
          <w:lang w:eastAsia="fr-BE"/>
        </w:rPr>
        <w:t> Le groupe est contrôlé par le banquier italo-vénézuélien Julio Herrera et possède également des bureaux à Genève et aux Bahamas.</w:t>
      </w:r>
    </w:p>
    <w:p w14:paraId="425A3E9D" w14:textId="77777777" w:rsidR="00467E47" w:rsidRPr="00467E47" w:rsidRDefault="00467E47" w:rsidP="00467E47">
      <w:pPr>
        <w:shd w:val="clear" w:color="auto" w:fill="FFFFFF"/>
        <w:spacing w:before="75" w:after="75" w:line="240" w:lineRule="auto"/>
        <w:jc w:val="both"/>
        <w:rPr>
          <w:rFonts w:ascii="Lato" w:eastAsia="Times New Roman" w:hAnsi="Lato" w:cs="Times New Roman"/>
          <w:color w:val="000000"/>
          <w:sz w:val="23"/>
          <w:szCs w:val="23"/>
          <w:lang w:eastAsia="fr-BE"/>
        </w:rPr>
      </w:pPr>
      <w:r w:rsidRPr="00467E47">
        <w:rPr>
          <w:rFonts w:ascii="Lato" w:eastAsia="Times New Roman" w:hAnsi="Lato" w:cs="Times New Roman"/>
          <w:color w:val="000000"/>
          <w:sz w:val="23"/>
          <w:szCs w:val="23"/>
          <w:lang w:eastAsia="fr-BE"/>
        </w:rPr>
        <w:t> </w:t>
      </w:r>
    </w:p>
    <w:p w14:paraId="7FEDC5AA" w14:textId="77777777" w:rsidR="009C3733" w:rsidRDefault="009C3733"/>
    <w:sectPr w:rsidR="009C3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47"/>
    <w:rsid w:val="00467E47"/>
    <w:rsid w:val="009C37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99A7"/>
  <w15:chartTrackingRefBased/>
  <w15:docId w15:val="{788F8ECA-2F8C-4595-BEF8-AE2EFA0B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2022-06-20T12:42:00Z</dcterms:created>
  <dcterms:modified xsi:type="dcterms:W3CDTF">2022-06-20T12:42:00Z</dcterms:modified>
</cp:coreProperties>
</file>